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020"/>
        <w:gridCol w:w="6"/>
      </w:tblGrid>
      <w:tr w:rsidR="00AC55D2" w:rsidRPr="00D86D56" w:rsidTr="006C2B61">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751"/>
              <w:gridCol w:w="7263"/>
              <w:gridCol w:w="6"/>
            </w:tblGrid>
            <w:tr w:rsidR="00AC55D2" w:rsidRPr="00D86D56" w:rsidTr="006C2B61">
              <w:trPr>
                <w:gridAfter w:val="1"/>
                <w:tblCellSpacing w:w="0" w:type="dxa"/>
              </w:trPr>
              <w:tc>
                <w:tcPr>
                  <w:tcW w:w="2130"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noProof/>
                      <w:sz w:val="28"/>
                      <w:szCs w:val="28"/>
                      <w:lang w:eastAsia="en-MY"/>
                    </w:rPr>
                    <w:drawing>
                      <wp:inline distT="0" distB="0" distL="0" distR="0" wp14:anchorId="292CB49A" wp14:editId="331939F5">
                        <wp:extent cx="1343025" cy="1104900"/>
                        <wp:effectExtent l="0" t="0" r="9525" b="0"/>
                        <wp:docPr id="1" name="Picture 1" descr="http://www.lawnet.com.my/libraryImages/image.aspx?imageI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awnet.com.my/libraryImages/image.aspx?imageID=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104900"/>
                                </a:xfrm>
                                <a:prstGeom prst="rect">
                                  <a:avLst/>
                                </a:prstGeom>
                                <a:noFill/>
                                <a:ln>
                                  <a:noFill/>
                                </a:ln>
                              </pic:spPr>
                            </pic:pic>
                          </a:graphicData>
                        </a:graphic>
                      </wp:inline>
                    </w:drawing>
                  </w: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b/>
                      <w:bCs/>
                      <w:sz w:val="28"/>
                      <w:szCs w:val="28"/>
                      <w:lang w:eastAsia="en-MY"/>
                    </w:rPr>
                  </w:pPr>
                </w:p>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FEDERAL SUBSIDIARY LEGISLATION</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8"/>
                      <w:szCs w:val="28"/>
                      <w:lang w:eastAsia="en-MY"/>
                    </w:rPr>
                    <w:t> </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jc w:val="center"/>
                    <w:rPr>
                      <w:rFonts w:asciiTheme="majorBidi" w:eastAsia="Times New Roman" w:hAnsiTheme="majorBidi" w:cstheme="majorBidi"/>
                      <w:caps/>
                      <w:sz w:val="28"/>
                      <w:szCs w:val="28"/>
                      <w:lang w:eastAsia="en-MY"/>
                    </w:rPr>
                  </w:pPr>
                  <w:r w:rsidRPr="00D86D56">
                    <w:rPr>
                      <w:rFonts w:asciiTheme="majorBidi" w:eastAsia="Times New Roman" w:hAnsiTheme="majorBidi" w:cstheme="majorBidi"/>
                      <w:b/>
                      <w:bCs/>
                      <w:caps/>
                      <w:sz w:val="28"/>
                      <w:szCs w:val="28"/>
                      <w:lang w:eastAsia="en-MY"/>
                    </w:rPr>
                    <w:t>P.U.(A) 420/89</w:t>
                  </w: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jc w:val="center"/>
                    <w:rPr>
                      <w:rFonts w:asciiTheme="majorBidi" w:eastAsia="Times New Roman" w:hAnsiTheme="majorBidi" w:cstheme="majorBidi"/>
                      <w:caps/>
                      <w:sz w:val="28"/>
                      <w:szCs w:val="28"/>
                      <w:lang w:eastAsia="en-MY"/>
                    </w:rPr>
                  </w:pPr>
                  <w:r w:rsidRPr="00D86D56">
                    <w:rPr>
                      <w:rFonts w:asciiTheme="majorBidi" w:eastAsia="Times New Roman" w:hAnsiTheme="majorBidi" w:cstheme="majorBidi"/>
                      <w:b/>
                      <w:bCs/>
                      <w:caps/>
                      <w:sz w:val="28"/>
                      <w:szCs w:val="28"/>
                      <w:lang w:eastAsia="en-MY"/>
                    </w:rPr>
                    <w:t>Federal Agricultural Marketing Authority (Registration Of Persons Engaged In Processing Or Marketing Of Agricultural Produce) Regulations 1989</w:t>
                  </w: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jc w:val="center"/>
                    <w:rPr>
                      <w:rFonts w:asciiTheme="majorBidi" w:eastAsia="Times New Roman" w:hAnsiTheme="majorBidi" w:cstheme="majorBidi"/>
                      <w:caps/>
                      <w:lang w:eastAsia="en-MY"/>
                    </w:rPr>
                  </w:pPr>
                  <w:r w:rsidRPr="00D86D56">
                    <w:rPr>
                      <w:rFonts w:asciiTheme="majorBidi" w:eastAsia="Times New Roman" w:hAnsiTheme="majorBidi" w:cstheme="majorBidi"/>
                      <w:caps/>
                      <w:lang w:eastAsia="en-MY"/>
                    </w:rPr>
                    <w:t> </w:t>
                  </w: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jc w:val="center"/>
                    <w:rPr>
                      <w:rFonts w:asciiTheme="majorBidi" w:eastAsia="Times New Roman" w:hAnsiTheme="majorBidi" w:cstheme="majorBidi"/>
                      <w:caps/>
                      <w:lang w:eastAsia="en-MY"/>
                    </w:rPr>
                  </w:pPr>
                  <w:r w:rsidRPr="00D86D56">
                    <w:rPr>
                      <w:rFonts w:asciiTheme="majorBidi" w:eastAsia="Times New Roman" w:hAnsiTheme="majorBidi" w:cstheme="majorBidi"/>
                      <w:caps/>
                      <w:lang w:eastAsia="en-MY"/>
                    </w:rPr>
                    <w:t> </w:t>
                  </w: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8"/>
                      <w:szCs w:val="28"/>
                      <w:lang w:eastAsia="en-MY"/>
                    </w:rPr>
                    <w:t> </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rPr>
                      <w:rFonts w:asciiTheme="majorBidi" w:eastAsia="Times New Roman" w:hAnsiTheme="majorBidi" w:cstheme="majorBidi"/>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rPr>
                      <w:rFonts w:asciiTheme="majorBidi" w:eastAsia="Times New Roman" w:hAnsiTheme="majorBidi" w:cstheme="majorBidi"/>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295"/>
                    <w:gridCol w:w="2968"/>
                  </w:tblGrid>
                  <w:tr w:rsidR="00AC55D2" w:rsidRPr="00D86D56" w:rsidTr="006C2B61">
                    <w:trPr>
                      <w:tblCellSpacing w:w="7" w:type="dxa"/>
                    </w:trPr>
                    <w:tc>
                      <w:tcPr>
                        <w:tcW w:w="0" w:type="auto"/>
                        <w:vAlign w:val="center"/>
                        <w:hideMark/>
                      </w:tcPr>
                      <w:p w:rsidR="00AC55D2" w:rsidRPr="00D86D56" w:rsidRDefault="00AC55D2" w:rsidP="006C2B61">
                        <w:pPr>
                          <w:spacing w:after="0" w:line="240" w:lineRule="auto"/>
                          <w:jc w:val="both"/>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8"/>
                            <w:szCs w:val="28"/>
                            <w:lang w:eastAsia="en-MY"/>
                          </w:rPr>
                          <w:t>Date of coming into operation</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8"/>
                            <w:szCs w:val="28"/>
                            <w:lang w:eastAsia="en-MY"/>
                          </w:rPr>
                          <w:t>21st December 1989</w:t>
                        </w:r>
                      </w:p>
                    </w:tc>
                  </w:tr>
                </w:tbl>
                <w:p w:rsidR="00AC55D2" w:rsidRPr="00D86D56" w:rsidRDefault="00AC55D2" w:rsidP="006C2B61">
                  <w:pPr>
                    <w:spacing w:after="0" w:line="240" w:lineRule="auto"/>
                    <w:jc w:val="both"/>
                    <w:rPr>
                      <w:rFonts w:asciiTheme="majorBidi" w:eastAsia="Times New Roman" w:hAnsiTheme="majorBidi" w:cstheme="majorBidi"/>
                      <w:sz w:val="28"/>
                      <w:szCs w:val="28"/>
                      <w:lang w:eastAsia="en-MY"/>
                    </w:rPr>
                  </w:pP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8"/>
                      <w:szCs w:val="28"/>
                      <w:lang w:eastAsia="en-MY"/>
                    </w:rPr>
                    <w:t> </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sz w:val="28"/>
                      <w:szCs w:val="28"/>
                      <w:lang w:eastAsia="en-MY"/>
                    </w:rPr>
                  </w:pP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2130" w:type="dxa"/>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6881" w:type="dxa"/>
                  <w:vAlign w:val="center"/>
                  <w:hideMark/>
                </w:tcPr>
                <w:p w:rsidR="00AC55D2" w:rsidRPr="00D86D56" w:rsidRDefault="00AC55D2" w:rsidP="006C2B61">
                  <w:pPr>
                    <w:spacing w:after="0" w:line="240" w:lineRule="auto"/>
                    <w:jc w:val="center"/>
                    <w:rPr>
                      <w:rFonts w:asciiTheme="majorBidi" w:eastAsia="Times New Roman" w:hAnsiTheme="majorBidi" w:cstheme="majorBidi"/>
                      <w:lang w:eastAsia="en-MY"/>
                    </w:rPr>
                  </w:pPr>
                  <w:r w:rsidRPr="00D86D56">
                    <w:rPr>
                      <w:rFonts w:asciiTheme="majorBidi" w:eastAsia="Times New Roman" w:hAnsiTheme="majorBidi" w:cstheme="majorBidi"/>
                      <w:lang w:eastAsia="en-MY"/>
                    </w:rPr>
                    <w:t> </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gridSpan w:val="3"/>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bl>
          <w:p w:rsidR="00AC55D2" w:rsidRPr="00D86D56" w:rsidRDefault="00AC55D2" w:rsidP="006C2B61">
            <w:pPr>
              <w:spacing w:after="0" w:line="240" w:lineRule="auto"/>
              <w:rPr>
                <w:rFonts w:asciiTheme="majorBidi" w:eastAsia="Times New Roman" w:hAnsiTheme="majorBidi" w:cstheme="majorBidi"/>
                <w:sz w:val="28"/>
                <w:szCs w:val="28"/>
                <w:lang w:eastAsia="en-MY"/>
              </w:rPr>
            </w:pP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28"/>
                <w:szCs w:val="28"/>
                <w:lang w:eastAsia="en-MY"/>
              </w:rPr>
            </w:pPr>
          </w:p>
        </w:tc>
      </w:tr>
      <w:tr w:rsidR="00AC55D2" w:rsidRPr="00D86D56" w:rsidTr="006C2B61">
        <w:trPr>
          <w:tblCellSpacing w:w="0" w:type="dxa"/>
        </w:trPr>
        <w:tc>
          <w:tcPr>
            <w:tcW w:w="0" w:type="auto"/>
            <w:vAlign w:val="center"/>
            <w:hideMark/>
          </w:tcPr>
          <w:tbl>
            <w:tblPr>
              <w:tblpPr w:leftFromText="180" w:rightFromText="180" w:vertAnchor="text" w:horzAnchor="margin" w:tblpY="-1529"/>
              <w:tblOverlap w:val="never"/>
              <w:tblW w:w="4322" w:type="pct"/>
              <w:tblCellSpacing w:w="0" w:type="dxa"/>
              <w:tblCellMar>
                <w:left w:w="0" w:type="dxa"/>
                <w:right w:w="0" w:type="dxa"/>
              </w:tblCellMar>
              <w:tblLook w:val="04A0" w:firstRow="1" w:lastRow="0" w:firstColumn="1" w:lastColumn="0" w:noHBand="0" w:noVBand="1"/>
            </w:tblPr>
            <w:tblGrid>
              <w:gridCol w:w="7797"/>
            </w:tblGrid>
            <w:tr w:rsidR="00AC55D2" w:rsidRPr="00D86D56" w:rsidTr="006C2B61">
              <w:trPr>
                <w:tblCellSpacing w:w="0" w:type="dxa"/>
              </w:trPr>
              <w:tc>
                <w:tcPr>
                  <w:tcW w:w="5000" w:type="pct"/>
                  <w:vAlign w:val="center"/>
                  <w:hideMark/>
                </w:tcPr>
                <w:p w:rsidR="00AC55D2" w:rsidRPr="00D86D56" w:rsidRDefault="00AC55D2" w:rsidP="006C2B61">
                  <w:pPr>
                    <w:spacing w:after="0" w:line="240" w:lineRule="auto"/>
                    <w:rPr>
                      <w:rFonts w:asciiTheme="majorBidi" w:eastAsia="Times New Roman" w:hAnsiTheme="majorBidi" w:cstheme="majorBidi"/>
                      <w:sz w:val="36"/>
                      <w:szCs w:val="36"/>
                      <w:lang w:eastAsia="en-MY"/>
                    </w:rPr>
                  </w:pPr>
                </w:p>
              </w:tc>
            </w:tr>
            <w:tr w:rsidR="00AC55D2" w:rsidRPr="00D86D56" w:rsidTr="006C2B61">
              <w:trPr>
                <w:tblCellSpacing w:w="0" w:type="dxa"/>
              </w:trPr>
              <w:tc>
                <w:tcPr>
                  <w:tcW w:w="5000" w:type="pct"/>
                  <w:vAlign w:val="center"/>
                  <w:hideMark/>
                </w:tcPr>
                <w:p w:rsidR="00AC55D2" w:rsidRPr="00D86D56" w:rsidRDefault="00AC55D2" w:rsidP="006C2B61">
                  <w:pPr>
                    <w:spacing w:before="100" w:beforeAutospacing="1" w:after="100" w:afterAutospacing="1" w:line="240" w:lineRule="auto"/>
                    <w:rPr>
                      <w:rFonts w:asciiTheme="majorBidi" w:eastAsia="Times New Roman" w:hAnsiTheme="majorBidi" w:cstheme="majorBidi"/>
                      <w:sz w:val="36"/>
                      <w:szCs w:val="36"/>
                      <w:lang w:eastAsia="en-MY"/>
                    </w:rPr>
                  </w:pPr>
                  <w:hyperlink r:id="rId6" w:history="1">
                    <w:r w:rsidRPr="00D86D56">
                      <w:rPr>
                        <w:rFonts w:asciiTheme="majorBidi" w:eastAsia="Times New Roman" w:hAnsiTheme="majorBidi" w:cstheme="majorBidi"/>
                        <w:color w:val="0000FF"/>
                        <w:sz w:val="28"/>
                        <w:szCs w:val="28"/>
                        <w:u w:val="single"/>
                        <w:lang w:eastAsia="en-MY"/>
                      </w:rPr>
                      <w:t>Preamble</w:t>
                    </w:r>
                  </w:hyperlink>
                </w:p>
                <w:p w:rsidR="00AC55D2" w:rsidRPr="00D86D56" w:rsidRDefault="00AC55D2" w:rsidP="006C2B61">
                  <w:pPr>
                    <w:spacing w:before="100" w:beforeAutospacing="1" w:after="100" w:afterAutospacing="1" w:line="240" w:lineRule="auto"/>
                    <w:rPr>
                      <w:rFonts w:asciiTheme="majorBidi" w:eastAsia="Times New Roman" w:hAnsiTheme="majorBidi" w:cstheme="majorBidi"/>
                      <w:sz w:val="36"/>
                      <w:szCs w:val="36"/>
                      <w:lang w:eastAsia="en-MY"/>
                    </w:rPr>
                  </w:pPr>
                  <w:r w:rsidRPr="00D86D56">
                    <w:rPr>
                      <w:rFonts w:asciiTheme="majorBidi" w:eastAsia="Times New Roman" w:hAnsiTheme="majorBidi" w:cstheme="majorBidi"/>
                      <w:sz w:val="28"/>
                      <w:szCs w:val="28"/>
                      <w:lang w:eastAsia="en-MY"/>
                    </w:rPr>
                    <w:t xml:space="preserve">Regulation 1. </w:t>
                  </w:r>
                  <w:hyperlink r:id="rId7" w:history="1">
                    <w:r w:rsidRPr="00D86D56">
                      <w:rPr>
                        <w:rFonts w:asciiTheme="majorBidi" w:eastAsia="Times New Roman" w:hAnsiTheme="majorBidi" w:cstheme="majorBidi"/>
                        <w:color w:val="0000FF"/>
                        <w:sz w:val="28"/>
                        <w:szCs w:val="28"/>
                        <w:u w:val="single"/>
                        <w:lang w:eastAsia="en-MY"/>
                      </w:rPr>
                      <w:t>Citation.</w:t>
                    </w:r>
                  </w:hyperlink>
                  <w:r w:rsidRPr="00D86D56">
                    <w:rPr>
                      <w:rFonts w:asciiTheme="majorBidi" w:eastAsia="Times New Roman" w:hAnsiTheme="majorBidi" w:cstheme="majorBidi"/>
                      <w:sz w:val="36"/>
                      <w:szCs w:val="36"/>
                      <w:lang w:eastAsia="en-MY"/>
                    </w:rPr>
                    <w:br/>
                  </w:r>
                  <w:r w:rsidRPr="00D86D56">
                    <w:rPr>
                      <w:rFonts w:asciiTheme="majorBidi" w:eastAsia="Times New Roman" w:hAnsiTheme="majorBidi" w:cstheme="majorBidi"/>
                      <w:sz w:val="28"/>
                      <w:szCs w:val="28"/>
                      <w:lang w:eastAsia="en-MY"/>
                    </w:rPr>
                    <w:t xml:space="preserve">Regulation 2. </w:t>
                  </w:r>
                  <w:hyperlink r:id="rId8" w:history="1">
                    <w:r w:rsidRPr="00D86D56">
                      <w:rPr>
                        <w:rFonts w:asciiTheme="majorBidi" w:eastAsia="Times New Roman" w:hAnsiTheme="majorBidi" w:cstheme="majorBidi"/>
                        <w:color w:val="0000FF"/>
                        <w:sz w:val="28"/>
                        <w:szCs w:val="28"/>
                        <w:u w:val="single"/>
                        <w:lang w:eastAsia="en-MY"/>
                      </w:rPr>
                      <w:t>Interpretation.</w:t>
                    </w:r>
                  </w:hyperlink>
                  <w:r w:rsidRPr="00D86D56">
                    <w:rPr>
                      <w:rFonts w:asciiTheme="majorBidi" w:eastAsia="Times New Roman" w:hAnsiTheme="majorBidi" w:cstheme="majorBidi"/>
                      <w:sz w:val="36"/>
                      <w:szCs w:val="36"/>
                      <w:lang w:eastAsia="en-MY"/>
                    </w:rPr>
                    <w:br/>
                  </w:r>
                  <w:r w:rsidRPr="00D86D56">
                    <w:rPr>
                      <w:rFonts w:asciiTheme="majorBidi" w:eastAsia="Times New Roman" w:hAnsiTheme="majorBidi" w:cstheme="majorBidi"/>
                      <w:sz w:val="28"/>
                      <w:szCs w:val="28"/>
                      <w:lang w:eastAsia="en-MY"/>
                    </w:rPr>
                    <w:t xml:space="preserve">Regulation 3. </w:t>
                  </w:r>
                  <w:hyperlink r:id="rId9" w:history="1">
                    <w:r w:rsidRPr="00D86D56">
                      <w:rPr>
                        <w:rFonts w:asciiTheme="majorBidi" w:eastAsia="Times New Roman" w:hAnsiTheme="majorBidi" w:cstheme="majorBidi"/>
                        <w:color w:val="0000FF"/>
                        <w:sz w:val="28"/>
                        <w:szCs w:val="28"/>
                        <w:u w:val="single"/>
                        <w:lang w:eastAsia="en-MY"/>
                      </w:rPr>
                      <w:t>Notice to require particulars.</w:t>
                    </w:r>
                  </w:hyperlink>
                  <w:r w:rsidRPr="00D86D56">
                    <w:rPr>
                      <w:rFonts w:asciiTheme="majorBidi" w:eastAsia="Times New Roman" w:hAnsiTheme="majorBidi" w:cstheme="majorBidi"/>
                      <w:sz w:val="36"/>
                      <w:szCs w:val="36"/>
                      <w:lang w:eastAsia="en-MY"/>
                    </w:rPr>
                    <w:br/>
                  </w:r>
                  <w:r w:rsidRPr="00D86D56">
                    <w:rPr>
                      <w:rFonts w:asciiTheme="majorBidi" w:eastAsia="Times New Roman" w:hAnsiTheme="majorBidi" w:cstheme="majorBidi"/>
                      <w:sz w:val="28"/>
                      <w:szCs w:val="28"/>
                      <w:lang w:eastAsia="en-MY"/>
                    </w:rPr>
                    <w:t xml:space="preserve">Regulation 4. </w:t>
                  </w:r>
                  <w:hyperlink r:id="rId10" w:history="1">
                    <w:r w:rsidRPr="00D86D56">
                      <w:rPr>
                        <w:rFonts w:asciiTheme="majorBidi" w:eastAsia="Times New Roman" w:hAnsiTheme="majorBidi" w:cstheme="majorBidi"/>
                        <w:color w:val="0000FF"/>
                        <w:sz w:val="28"/>
                        <w:szCs w:val="28"/>
                        <w:u w:val="single"/>
                        <w:lang w:eastAsia="en-MY"/>
                      </w:rPr>
                      <w:t>Communication of information of general nature.</w:t>
                    </w:r>
                  </w:hyperlink>
                  <w:r w:rsidRPr="00D86D56">
                    <w:rPr>
                      <w:rFonts w:asciiTheme="majorBidi" w:eastAsia="Times New Roman" w:hAnsiTheme="majorBidi" w:cstheme="majorBidi"/>
                      <w:sz w:val="36"/>
                      <w:szCs w:val="36"/>
                      <w:lang w:eastAsia="en-MY"/>
                    </w:rPr>
                    <w:br/>
                  </w:r>
                  <w:r w:rsidRPr="00D86D56">
                    <w:rPr>
                      <w:rFonts w:asciiTheme="majorBidi" w:eastAsia="Times New Roman" w:hAnsiTheme="majorBidi" w:cstheme="majorBidi"/>
                      <w:sz w:val="28"/>
                      <w:szCs w:val="28"/>
                      <w:lang w:eastAsia="en-MY"/>
                    </w:rPr>
                    <w:t xml:space="preserve">Regulation 5. </w:t>
                  </w:r>
                  <w:hyperlink r:id="rId11" w:history="1">
                    <w:r w:rsidRPr="00D86D56">
                      <w:rPr>
                        <w:rFonts w:asciiTheme="majorBidi" w:eastAsia="Times New Roman" w:hAnsiTheme="majorBidi" w:cstheme="majorBidi"/>
                        <w:color w:val="0000FF"/>
                        <w:sz w:val="28"/>
                        <w:szCs w:val="28"/>
                        <w:u w:val="single"/>
                        <w:lang w:eastAsia="en-MY"/>
                      </w:rPr>
                      <w:t>Penalty.</w:t>
                    </w:r>
                  </w:hyperlink>
                </w:p>
              </w:tc>
            </w:tr>
          </w:tbl>
          <w:p w:rsidR="00AC55D2" w:rsidRPr="00D86D56" w:rsidRDefault="00AC55D2" w:rsidP="006C2B61">
            <w:pPr>
              <w:spacing w:after="0" w:line="240" w:lineRule="auto"/>
              <w:rPr>
                <w:rFonts w:asciiTheme="majorBidi" w:eastAsia="Times New Roman" w:hAnsiTheme="majorBidi" w:cstheme="majorBidi"/>
                <w:sz w:val="36"/>
                <w:szCs w:val="36"/>
                <w:lang w:eastAsia="en-MY"/>
              </w:rPr>
            </w:pPr>
            <w:r w:rsidRPr="00D86D56">
              <w:rPr>
                <w:rFonts w:asciiTheme="majorBidi" w:eastAsia="Times New Roman" w:hAnsiTheme="majorBidi" w:cstheme="majorBidi"/>
                <w:sz w:val="36"/>
                <w:szCs w:val="36"/>
                <w:lang w:eastAsia="en-MY"/>
              </w:rPr>
              <w:t> </w:t>
            </w:r>
          </w:p>
        </w:tc>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36"/>
                <w:szCs w:val="36"/>
                <w:lang w:eastAsia="en-MY"/>
              </w:rPr>
            </w:pPr>
          </w:p>
        </w:tc>
      </w:tr>
    </w:tbl>
    <w:p w:rsidR="00AC55D2" w:rsidRPr="00D86D56" w:rsidRDefault="00AC55D2" w:rsidP="00AC55D2">
      <w:pPr>
        <w:rPr>
          <w:rFonts w:asciiTheme="majorBidi" w:hAnsiTheme="majorBidi" w:cstheme="majorBidi"/>
          <w:sz w:val="32"/>
          <w:szCs w:val="32"/>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55D2" w:rsidRPr="00D86D56" w:rsidTr="006C2B61">
        <w:trPr>
          <w:tblCellSpacing w:w="0" w:type="dxa"/>
        </w:trPr>
        <w:tc>
          <w:tcPr>
            <w:tcW w:w="0" w:type="auto"/>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Preamble</w:t>
            </w:r>
          </w:p>
        </w:tc>
      </w:tr>
      <w:tr w:rsidR="00AC55D2" w:rsidRPr="00D86D56" w:rsidTr="006C2B61">
        <w:trPr>
          <w:tblCellSpacing w:w="0" w:type="dxa"/>
        </w:trPr>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32"/>
                <w:szCs w:val="32"/>
                <w:lang w:eastAsia="en-MY"/>
              </w:rPr>
            </w:pPr>
            <w:r w:rsidRPr="00D86D56">
              <w:rPr>
                <w:rFonts w:asciiTheme="majorBidi" w:eastAsia="Times New Roman" w:hAnsiTheme="majorBidi" w:cstheme="majorBidi"/>
                <w:sz w:val="24"/>
                <w:szCs w:val="24"/>
                <w:lang w:eastAsia="en-MY"/>
              </w:rPr>
              <w:t xml:space="preserve">IN exercise of the powers conferred by section 12 of the Federal Agricultural Marketing Authority Act 1965, the Authority, with the approval of the Minister, makes the following regulations </w:t>
            </w:r>
          </w:p>
        </w:tc>
      </w:tr>
    </w:tbl>
    <w:p w:rsidR="00AC55D2" w:rsidRPr="00D86D56" w:rsidRDefault="00AC55D2" w:rsidP="00AC55D2">
      <w:pPr>
        <w:rPr>
          <w:rFonts w:asciiTheme="majorBidi" w:hAnsiTheme="majorBidi" w:cstheme="majorBidi"/>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55D2" w:rsidRPr="00D86D56" w:rsidTr="006C2B61">
        <w:trPr>
          <w:tblCellSpacing w:w="0" w:type="dxa"/>
        </w:trPr>
        <w:tc>
          <w:tcPr>
            <w:tcW w:w="0" w:type="auto"/>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Regulation 1. Citation.</w:t>
            </w:r>
          </w:p>
        </w:tc>
      </w:tr>
      <w:tr w:rsidR="00AC55D2" w:rsidRPr="00D86D56" w:rsidTr="006C2B61">
        <w:trPr>
          <w:tblCellSpacing w:w="0" w:type="dxa"/>
        </w:trPr>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32"/>
                <w:szCs w:val="32"/>
                <w:lang w:eastAsia="en-MY"/>
              </w:rPr>
            </w:pPr>
            <w:r w:rsidRPr="00D86D56">
              <w:rPr>
                <w:rFonts w:asciiTheme="majorBidi" w:eastAsia="Times New Roman" w:hAnsiTheme="majorBidi" w:cstheme="majorBidi"/>
                <w:sz w:val="24"/>
                <w:szCs w:val="24"/>
                <w:lang w:eastAsia="en-MY"/>
              </w:rPr>
              <w:t xml:space="preserve">These Regulations may be cited as the </w:t>
            </w:r>
            <w:r w:rsidRPr="00D86D56">
              <w:rPr>
                <w:rFonts w:asciiTheme="majorBidi" w:eastAsia="Times New Roman" w:hAnsiTheme="majorBidi" w:cstheme="majorBidi"/>
                <w:b/>
                <w:bCs/>
                <w:sz w:val="24"/>
                <w:szCs w:val="24"/>
                <w:lang w:eastAsia="en-MY"/>
              </w:rPr>
              <w:t>Federal Agricultural Marketing Authority (Registration of Persons Engaged in Processing or Marketing of Agricultural Produce) Regulations 1989</w:t>
            </w:r>
            <w:r w:rsidRPr="00D86D56">
              <w:rPr>
                <w:rFonts w:asciiTheme="majorBidi" w:eastAsia="Times New Roman" w:hAnsiTheme="majorBidi" w:cstheme="majorBidi"/>
                <w:sz w:val="24"/>
                <w:szCs w:val="24"/>
                <w:lang w:eastAsia="en-MY"/>
              </w:rPr>
              <w:t>.</w:t>
            </w:r>
          </w:p>
        </w:tc>
      </w:tr>
    </w:tbl>
    <w:p w:rsidR="00AC55D2" w:rsidRPr="00D86D56" w:rsidRDefault="00AC55D2" w:rsidP="00AC55D2">
      <w:pPr>
        <w:rPr>
          <w:rFonts w:asciiTheme="majorBidi" w:hAnsiTheme="majorBidi" w:cstheme="majorBidi"/>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55D2" w:rsidRPr="00D86D56" w:rsidTr="006C2B61">
        <w:trPr>
          <w:tblCellSpacing w:w="0" w:type="dxa"/>
        </w:trPr>
        <w:tc>
          <w:tcPr>
            <w:tcW w:w="0" w:type="auto"/>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Regulation 2. Interpretation.</w:t>
            </w:r>
          </w:p>
        </w:tc>
      </w:tr>
      <w:tr w:rsidR="00AC55D2" w:rsidRPr="00D86D56" w:rsidTr="006C2B61">
        <w:trPr>
          <w:tblCellSpacing w:w="0" w:type="dxa"/>
        </w:trPr>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32"/>
                <w:szCs w:val="32"/>
                <w:lang w:eastAsia="en-MY"/>
              </w:rPr>
            </w:pPr>
            <w:r w:rsidRPr="00D86D56">
              <w:rPr>
                <w:rFonts w:asciiTheme="majorBidi" w:eastAsia="Times New Roman" w:hAnsiTheme="majorBidi" w:cstheme="majorBidi"/>
                <w:sz w:val="24"/>
                <w:szCs w:val="24"/>
                <w:lang w:eastAsia="en-MY"/>
              </w:rPr>
              <w:t xml:space="preserve">In these Regulations, unless the context otherwise requires - </w:t>
            </w:r>
          </w:p>
          <w:p w:rsidR="00AC55D2" w:rsidRPr="00D86D56" w:rsidRDefault="00AC55D2" w:rsidP="006C2B61">
            <w:pPr>
              <w:spacing w:after="0" w:line="240" w:lineRule="auto"/>
              <w:ind w:left="720"/>
              <w:rPr>
                <w:rFonts w:asciiTheme="majorBidi" w:eastAsia="Times New Roman" w:hAnsiTheme="majorBidi" w:cstheme="majorBidi"/>
                <w:sz w:val="28"/>
                <w:szCs w:val="28"/>
                <w:lang w:eastAsia="en-MY"/>
              </w:rPr>
            </w:pPr>
            <w:r w:rsidRPr="00D86D56">
              <w:rPr>
                <w:rFonts w:asciiTheme="majorBidi" w:eastAsia="Times New Roman" w:hAnsiTheme="majorBidi" w:cstheme="majorBidi"/>
                <w:sz w:val="24"/>
                <w:szCs w:val="24"/>
                <w:lang w:eastAsia="en-MY"/>
              </w:rPr>
              <w:t>"Authority" means the Federal Agricultural Marketing Authority;</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lastRenderedPageBreak/>
              <w:br/>
            </w:r>
            <w:r w:rsidRPr="00D86D56">
              <w:rPr>
                <w:rFonts w:asciiTheme="majorBidi" w:eastAsia="Times New Roman" w:hAnsiTheme="majorBidi" w:cstheme="majorBidi"/>
                <w:sz w:val="24"/>
                <w:szCs w:val="24"/>
                <w:lang w:eastAsia="en-MY"/>
              </w:rPr>
              <w:t>"information" includes any information or particulars relating to the processing or marketing of agricultural produce;</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24"/>
                <w:szCs w:val="24"/>
                <w:lang w:eastAsia="en-MY"/>
              </w:rPr>
              <w:t>"registration" means registration of persons engaged in the processing or marketing of any agricultural produce under regulation 3;</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24"/>
                <w:szCs w:val="24"/>
                <w:lang w:eastAsia="en-MY"/>
              </w:rPr>
              <w:t xml:space="preserve">"person" includes an individual, any corporation, statutory body, co-operative society, partnership, association and any other group of persons, whether corporate or </w:t>
            </w:r>
            <w:proofErr w:type="spellStart"/>
            <w:r w:rsidRPr="00D86D56">
              <w:rPr>
                <w:rFonts w:asciiTheme="majorBidi" w:eastAsia="Times New Roman" w:hAnsiTheme="majorBidi" w:cstheme="majorBidi"/>
                <w:sz w:val="24"/>
                <w:szCs w:val="24"/>
                <w:lang w:eastAsia="en-MY"/>
              </w:rPr>
              <w:t>unincorporate</w:t>
            </w:r>
            <w:proofErr w:type="spellEnd"/>
            <w:r w:rsidRPr="00D86D56">
              <w:rPr>
                <w:rFonts w:asciiTheme="majorBidi" w:eastAsia="Times New Roman" w:hAnsiTheme="majorBidi" w:cstheme="majorBidi"/>
                <w:sz w:val="24"/>
                <w:szCs w:val="24"/>
                <w:lang w:eastAsia="en-MY"/>
              </w:rPr>
              <w:t>;</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24"/>
                <w:szCs w:val="24"/>
                <w:lang w:eastAsia="en-MY"/>
              </w:rPr>
              <w:t>"processing" means any activities or series of activities or operations either done manually or mechanically or both for the preparation of the resulting agricultural produce for sale or otherwise.</w:t>
            </w:r>
          </w:p>
        </w:tc>
      </w:tr>
    </w:tbl>
    <w:p w:rsidR="00AC55D2" w:rsidRPr="00D86D56" w:rsidRDefault="00AC55D2" w:rsidP="00AC55D2">
      <w:pPr>
        <w:rPr>
          <w:rFonts w:asciiTheme="majorBidi" w:hAnsiTheme="majorBidi" w:cstheme="majorBidi"/>
          <w:sz w:val="24"/>
          <w:szCs w:val="24"/>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55D2" w:rsidRPr="00D86D56" w:rsidTr="006C2B61">
        <w:trPr>
          <w:tblCellSpacing w:w="0" w:type="dxa"/>
        </w:trPr>
        <w:tc>
          <w:tcPr>
            <w:tcW w:w="0" w:type="auto"/>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Regulation 3. Notice to require particulars.</w:t>
            </w:r>
          </w:p>
        </w:tc>
      </w:tr>
      <w:tr w:rsidR="00AC55D2" w:rsidRPr="00D86D56" w:rsidTr="006C2B61">
        <w:trPr>
          <w:tblCellSpacing w:w="0" w:type="dxa"/>
        </w:trPr>
        <w:tc>
          <w:tcPr>
            <w:tcW w:w="0" w:type="auto"/>
            <w:vAlign w:val="center"/>
            <w:hideMark/>
          </w:tcPr>
          <w:p w:rsidR="00AC55D2" w:rsidRDefault="00AC55D2" w:rsidP="006C2B61">
            <w:pPr>
              <w:spacing w:after="0" w:line="240" w:lineRule="auto"/>
              <w:rPr>
                <w:rFonts w:asciiTheme="majorBidi" w:eastAsia="Times New Roman" w:hAnsiTheme="majorBidi" w:cstheme="majorBidi"/>
                <w:sz w:val="24"/>
                <w:szCs w:val="24"/>
                <w:lang w:eastAsia="en-MY"/>
              </w:rPr>
            </w:pPr>
            <w:r w:rsidRPr="00D86D56">
              <w:rPr>
                <w:rFonts w:asciiTheme="majorBidi" w:eastAsia="Times New Roman" w:hAnsiTheme="majorBidi" w:cstheme="majorBidi"/>
                <w:sz w:val="24"/>
                <w:szCs w:val="24"/>
                <w:lang w:eastAsia="en-MY"/>
              </w:rPr>
              <w:t xml:space="preserve">(1) The Authority may, by notification in the </w:t>
            </w:r>
            <w:r w:rsidRPr="00D86D56">
              <w:rPr>
                <w:rFonts w:asciiTheme="majorBidi" w:eastAsia="Times New Roman" w:hAnsiTheme="majorBidi" w:cstheme="majorBidi"/>
                <w:i/>
                <w:iCs/>
                <w:sz w:val="24"/>
                <w:szCs w:val="24"/>
                <w:lang w:eastAsia="en-MY"/>
              </w:rPr>
              <w:t>Gazette</w:t>
            </w:r>
            <w:r w:rsidRPr="00D86D56">
              <w:rPr>
                <w:rFonts w:asciiTheme="majorBidi" w:eastAsia="Times New Roman" w:hAnsiTheme="majorBidi" w:cstheme="majorBidi"/>
                <w:sz w:val="24"/>
                <w:szCs w:val="24"/>
                <w:lang w:eastAsia="en-MY"/>
              </w:rPr>
              <w:t>, require any person engaged in the processing or marketing of any agricultural produce to register with the Authority and furnish any information as the Authority may deem necessary relating to the agricultural produce in such form as the Authority may specify, being information within that person's knowledge or which he is reasonably able to obtain, and shall include the following information :</w:t>
            </w:r>
          </w:p>
          <w:p w:rsidR="00AC55D2" w:rsidRPr="00D86D56" w:rsidRDefault="00AC55D2" w:rsidP="006C2B61">
            <w:pPr>
              <w:spacing w:after="0" w:line="240" w:lineRule="auto"/>
              <w:rPr>
                <w:rFonts w:asciiTheme="majorBidi" w:eastAsia="Times New Roman" w:hAnsiTheme="majorBidi" w:cstheme="majorBidi"/>
                <w:sz w:val="32"/>
                <w:szCs w:val="32"/>
                <w:lang w:eastAsia="en-MY"/>
              </w:rPr>
            </w:pPr>
          </w:p>
          <w:p w:rsidR="00AC55D2" w:rsidRDefault="00AC55D2" w:rsidP="006C2B61">
            <w:pPr>
              <w:spacing w:after="0" w:line="240" w:lineRule="auto"/>
              <w:ind w:left="720"/>
              <w:rPr>
                <w:rFonts w:asciiTheme="majorBidi" w:eastAsia="Times New Roman" w:hAnsiTheme="majorBidi" w:cstheme="majorBidi"/>
                <w:sz w:val="24"/>
                <w:szCs w:val="24"/>
                <w:lang w:eastAsia="en-MY"/>
              </w:rPr>
            </w:pPr>
            <w:r w:rsidRPr="00D86D56">
              <w:rPr>
                <w:rFonts w:asciiTheme="majorBidi" w:eastAsia="Times New Roman" w:hAnsiTheme="majorBidi" w:cstheme="majorBidi"/>
                <w:i/>
                <w:iCs/>
                <w:sz w:val="24"/>
                <w:szCs w:val="24"/>
                <w:lang w:eastAsia="en-MY"/>
              </w:rPr>
              <w:t>(a)</w:t>
            </w:r>
            <w:r w:rsidRPr="00D86D56">
              <w:rPr>
                <w:rFonts w:asciiTheme="majorBidi" w:eastAsia="Times New Roman" w:hAnsiTheme="majorBidi" w:cstheme="majorBidi"/>
                <w:sz w:val="24"/>
                <w:szCs w:val="24"/>
                <w:lang w:eastAsia="en-MY"/>
              </w:rPr>
              <w:t xml:space="preserve"> any marketing activities, including labelling, packing, grading, storage, transportation and shipment of agricultural produce</w:t>
            </w:r>
            <w:proofErr w:type="gramStart"/>
            <w:r w:rsidRPr="00D86D56">
              <w:rPr>
                <w:rFonts w:asciiTheme="majorBidi" w:eastAsia="Times New Roman" w:hAnsiTheme="majorBidi" w:cstheme="majorBidi"/>
                <w:sz w:val="24"/>
                <w:szCs w:val="24"/>
                <w:lang w:eastAsia="en-MY"/>
              </w:rPr>
              <w:t>;</w:t>
            </w:r>
            <w:proofErr w:type="gramEnd"/>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i/>
                <w:iCs/>
                <w:sz w:val="24"/>
                <w:szCs w:val="24"/>
                <w:lang w:eastAsia="en-MY"/>
              </w:rPr>
              <w:t xml:space="preserve">(b) </w:t>
            </w:r>
            <w:r w:rsidRPr="00D86D56">
              <w:rPr>
                <w:rFonts w:asciiTheme="majorBidi" w:eastAsia="Times New Roman" w:hAnsiTheme="majorBidi" w:cstheme="majorBidi"/>
                <w:sz w:val="24"/>
                <w:szCs w:val="24"/>
                <w:lang w:eastAsia="en-MY"/>
              </w:rPr>
              <w:t>sales of agricultural produce including methods of sales, value, outlets and exports;</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i/>
                <w:iCs/>
                <w:sz w:val="24"/>
                <w:szCs w:val="24"/>
                <w:lang w:eastAsia="en-MY"/>
              </w:rPr>
              <w:t>(c)</w:t>
            </w:r>
            <w:r w:rsidRPr="00D86D56">
              <w:rPr>
                <w:rFonts w:asciiTheme="majorBidi" w:eastAsia="Times New Roman" w:hAnsiTheme="majorBidi" w:cstheme="majorBidi"/>
                <w:sz w:val="24"/>
                <w:szCs w:val="24"/>
                <w:lang w:eastAsia="en-MY"/>
              </w:rPr>
              <w:t xml:space="preserve"> purchases of agricultural produce including method of purchase, quantity, value, source and imports;</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i/>
                <w:iCs/>
                <w:sz w:val="24"/>
                <w:szCs w:val="24"/>
                <w:lang w:eastAsia="en-MY"/>
              </w:rPr>
              <w:t>(d)</w:t>
            </w:r>
            <w:r w:rsidRPr="00D86D56">
              <w:rPr>
                <w:rFonts w:asciiTheme="majorBidi" w:eastAsia="Times New Roman" w:hAnsiTheme="majorBidi" w:cstheme="majorBidi"/>
                <w:sz w:val="24"/>
                <w:szCs w:val="24"/>
                <w:lang w:eastAsia="en-MY"/>
              </w:rPr>
              <w:t xml:space="preserve"> processing of agricultural produce including methods, equipment, conversion rates, material used, and quality of output; and</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i/>
                <w:iCs/>
                <w:sz w:val="24"/>
                <w:szCs w:val="24"/>
                <w:lang w:eastAsia="en-MY"/>
              </w:rPr>
              <w:t>(e)</w:t>
            </w:r>
            <w:r w:rsidRPr="00D86D56">
              <w:rPr>
                <w:rFonts w:asciiTheme="majorBidi" w:eastAsia="Times New Roman" w:hAnsiTheme="majorBidi" w:cstheme="majorBidi"/>
                <w:sz w:val="24"/>
                <w:szCs w:val="24"/>
                <w:lang w:eastAsia="en-MY"/>
              </w:rPr>
              <w:t xml:space="preserve"> quantity of stock.</w:t>
            </w:r>
          </w:p>
          <w:p w:rsidR="00AC55D2" w:rsidRPr="00D86D56" w:rsidRDefault="00AC55D2" w:rsidP="006C2B61">
            <w:pPr>
              <w:spacing w:after="0" w:line="240" w:lineRule="auto"/>
              <w:ind w:left="720"/>
              <w:rPr>
                <w:rFonts w:asciiTheme="majorBidi" w:eastAsia="Times New Roman" w:hAnsiTheme="majorBidi" w:cstheme="majorBidi"/>
                <w:sz w:val="32"/>
                <w:szCs w:val="32"/>
                <w:lang w:eastAsia="en-MY"/>
              </w:rPr>
            </w:pPr>
          </w:p>
          <w:p w:rsidR="00AC55D2" w:rsidRPr="00D86D56" w:rsidRDefault="00AC55D2" w:rsidP="006C2B61">
            <w:pPr>
              <w:spacing w:after="0" w:line="240" w:lineRule="auto"/>
              <w:rPr>
                <w:rFonts w:asciiTheme="majorBidi" w:eastAsia="Times New Roman" w:hAnsiTheme="majorBidi" w:cstheme="majorBidi"/>
                <w:sz w:val="32"/>
                <w:szCs w:val="32"/>
                <w:lang w:eastAsia="en-MY"/>
              </w:rPr>
            </w:pPr>
            <w:r w:rsidRPr="00D86D56">
              <w:rPr>
                <w:rFonts w:asciiTheme="majorBidi" w:eastAsia="Times New Roman" w:hAnsiTheme="majorBidi" w:cstheme="majorBidi"/>
                <w:sz w:val="24"/>
                <w:szCs w:val="24"/>
                <w:lang w:eastAsia="en-MY"/>
              </w:rPr>
              <w:t xml:space="preserve">(2) A notification under </w:t>
            </w:r>
            <w:proofErr w:type="spellStart"/>
            <w:r w:rsidRPr="00D86D56">
              <w:rPr>
                <w:rFonts w:asciiTheme="majorBidi" w:eastAsia="Times New Roman" w:hAnsiTheme="majorBidi" w:cstheme="majorBidi"/>
                <w:sz w:val="24"/>
                <w:szCs w:val="24"/>
                <w:lang w:eastAsia="en-MY"/>
              </w:rPr>
              <w:t>subregulation</w:t>
            </w:r>
            <w:proofErr w:type="spellEnd"/>
            <w:r w:rsidRPr="00D86D56">
              <w:rPr>
                <w:rFonts w:asciiTheme="majorBidi" w:eastAsia="Times New Roman" w:hAnsiTheme="majorBidi" w:cstheme="majorBidi"/>
                <w:sz w:val="24"/>
                <w:szCs w:val="24"/>
                <w:lang w:eastAsia="en-MY"/>
              </w:rPr>
              <w:t xml:space="preserve"> (1) may require the information to be furnished at specific times or within specific intervals.</w:t>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24"/>
                <w:szCs w:val="24"/>
                <w:lang w:eastAsia="en-MY"/>
              </w:rPr>
              <w:t xml:space="preserve">(3) Without prejudice to </w:t>
            </w:r>
            <w:proofErr w:type="spellStart"/>
            <w:r w:rsidRPr="00D86D56">
              <w:rPr>
                <w:rFonts w:asciiTheme="majorBidi" w:eastAsia="Times New Roman" w:hAnsiTheme="majorBidi" w:cstheme="majorBidi"/>
                <w:sz w:val="24"/>
                <w:szCs w:val="24"/>
                <w:lang w:eastAsia="en-MY"/>
              </w:rPr>
              <w:t>subregulation</w:t>
            </w:r>
            <w:proofErr w:type="spellEnd"/>
            <w:r w:rsidRPr="00D86D56">
              <w:rPr>
                <w:rFonts w:asciiTheme="majorBidi" w:eastAsia="Times New Roman" w:hAnsiTheme="majorBidi" w:cstheme="majorBidi"/>
                <w:sz w:val="24"/>
                <w:szCs w:val="24"/>
                <w:lang w:eastAsia="en-MY"/>
              </w:rPr>
              <w:t xml:space="preserve"> (2), the Authority may, in addition to the notification under </w:t>
            </w:r>
            <w:proofErr w:type="spellStart"/>
            <w:r w:rsidRPr="00D86D56">
              <w:rPr>
                <w:rFonts w:asciiTheme="majorBidi" w:eastAsia="Times New Roman" w:hAnsiTheme="majorBidi" w:cstheme="majorBidi"/>
                <w:sz w:val="24"/>
                <w:szCs w:val="24"/>
                <w:lang w:eastAsia="en-MY"/>
              </w:rPr>
              <w:t>subregulation</w:t>
            </w:r>
            <w:proofErr w:type="spellEnd"/>
            <w:r w:rsidRPr="00D86D56">
              <w:rPr>
                <w:rFonts w:asciiTheme="majorBidi" w:eastAsia="Times New Roman" w:hAnsiTheme="majorBidi" w:cstheme="majorBidi"/>
                <w:sz w:val="24"/>
                <w:szCs w:val="24"/>
                <w:lang w:eastAsia="en-MY"/>
              </w:rPr>
              <w:t xml:space="preserve"> (1), for the better carrying out of the provisions of these Regulations publish the notification in such local newspapers as may be determined by the Authority.</w:t>
            </w:r>
          </w:p>
        </w:tc>
      </w:tr>
    </w:tbl>
    <w:p w:rsidR="00AC55D2" w:rsidRPr="00D86D56" w:rsidRDefault="00AC55D2" w:rsidP="00AC55D2">
      <w:pPr>
        <w:rPr>
          <w:rFonts w:asciiTheme="majorBidi" w:hAnsiTheme="majorBidi" w:cstheme="majorBidi"/>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AC55D2" w:rsidRPr="00D86D56" w:rsidTr="006C2B61">
        <w:trPr>
          <w:tblCellSpacing w:w="0" w:type="dxa"/>
        </w:trPr>
        <w:tc>
          <w:tcPr>
            <w:tcW w:w="0" w:type="auto"/>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lastRenderedPageBreak/>
              <w:t>Regulation 4. Communication of information of general nature.</w:t>
            </w:r>
          </w:p>
        </w:tc>
      </w:tr>
      <w:tr w:rsidR="00AC55D2" w:rsidRPr="00D86D56" w:rsidTr="006C2B61">
        <w:trPr>
          <w:tblCellSpacing w:w="0" w:type="dxa"/>
        </w:trPr>
        <w:tc>
          <w:tcPr>
            <w:tcW w:w="0" w:type="auto"/>
            <w:vAlign w:val="center"/>
            <w:hideMark/>
          </w:tcPr>
          <w:p w:rsidR="00AC55D2" w:rsidRPr="00D86D56" w:rsidRDefault="00AC55D2" w:rsidP="006C2B61">
            <w:pPr>
              <w:spacing w:after="0" w:line="240" w:lineRule="auto"/>
              <w:rPr>
                <w:rFonts w:asciiTheme="majorBidi" w:eastAsia="Times New Roman" w:hAnsiTheme="majorBidi" w:cstheme="majorBidi"/>
                <w:sz w:val="32"/>
                <w:szCs w:val="32"/>
                <w:lang w:eastAsia="en-MY"/>
              </w:rPr>
            </w:pPr>
            <w:r w:rsidRPr="00D86D56">
              <w:rPr>
                <w:rFonts w:asciiTheme="majorBidi" w:eastAsia="Times New Roman" w:hAnsiTheme="majorBidi" w:cstheme="majorBidi"/>
                <w:sz w:val="24"/>
                <w:szCs w:val="24"/>
                <w:lang w:eastAsia="en-MY"/>
              </w:rPr>
              <w:t xml:space="preserve">The Authority may, where it considers it in the public interest to do so, communicate or disclose any information of a general nature obtained under regulation 3 to any other authorities or persons to whom the information may be </w:t>
            </w:r>
            <w:proofErr w:type="gramStart"/>
            <w:r w:rsidRPr="00D86D56">
              <w:rPr>
                <w:rFonts w:asciiTheme="majorBidi" w:eastAsia="Times New Roman" w:hAnsiTheme="majorBidi" w:cstheme="majorBidi"/>
                <w:sz w:val="24"/>
                <w:szCs w:val="24"/>
                <w:lang w:eastAsia="en-MY"/>
              </w:rPr>
              <w:t>useful :</w:t>
            </w:r>
            <w:proofErr w:type="gramEnd"/>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32"/>
                <w:szCs w:val="32"/>
                <w:lang w:eastAsia="en-MY"/>
              </w:rPr>
              <w:br/>
            </w:r>
            <w:r w:rsidRPr="00D86D56">
              <w:rPr>
                <w:rFonts w:asciiTheme="majorBidi" w:eastAsia="Times New Roman" w:hAnsiTheme="majorBidi" w:cstheme="majorBidi"/>
                <w:sz w:val="24"/>
                <w:szCs w:val="24"/>
                <w:lang w:eastAsia="en-MY"/>
              </w:rPr>
              <w:t>Provided that the communication or disclosure of the information shall not make any reference to any specific person from whom the information was obtained.</w:t>
            </w:r>
          </w:p>
        </w:tc>
      </w:tr>
    </w:tbl>
    <w:p w:rsidR="00AC55D2" w:rsidRPr="00D86D56" w:rsidRDefault="00AC55D2" w:rsidP="00AC55D2">
      <w:pPr>
        <w:rPr>
          <w:rFonts w:asciiTheme="majorBidi" w:hAnsiTheme="majorBidi" w:cstheme="majorBidi"/>
          <w:sz w:val="28"/>
          <w:szCs w:val="28"/>
        </w:rPr>
      </w:pPr>
    </w:p>
    <w:tbl>
      <w:tblPr>
        <w:tblW w:w="5261" w:type="pct"/>
        <w:tblCellSpacing w:w="0" w:type="dxa"/>
        <w:tblCellMar>
          <w:left w:w="0" w:type="dxa"/>
          <w:right w:w="0" w:type="dxa"/>
        </w:tblCellMar>
        <w:tblLook w:val="04A0" w:firstRow="1" w:lastRow="0" w:firstColumn="1" w:lastColumn="0" w:noHBand="0" w:noVBand="1"/>
      </w:tblPr>
      <w:tblGrid>
        <w:gridCol w:w="9497"/>
      </w:tblGrid>
      <w:tr w:rsidR="00AC55D2" w:rsidRPr="00D86D56" w:rsidTr="006C2B61">
        <w:trPr>
          <w:tblCellSpacing w:w="0" w:type="dxa"/>
        </w:trPr>
        <w:tc>
          <w:tcPr>
            <w:tcW w:w="5000" w:type="pct"/>
            <w:vAlign w:val="center"/>
            <w:hideMark/>
          </w:tcPr>
          <w:p w:rsidR="00AC55D2" w:rsidRPr="00D86D56" w:rsidRDefault="00AC55D2" w:rsidP="006C2B61">
            <w:pPr>
              <w:spacing w:after="24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b/>
                <w:bCs/>
                <w:sz w:val="28"/>
                <w:szCs w:val="28"/>
                <w:lang w:eastAsia="en-MY"/>
              </w:rPr>
              <w:t>Regulation 5. Penalty.</w:t>
            </w:r>
          </w:p>
        </w:tc>
      </w:tr>
      <w:tr w:rsidR="00AC55D2" w:rsidRPr="00D86D56" w:rsidTr="006C2B61">
        <w:trPr>
          <w:tblCellSpacing w:w="0" w:type="dxa"/>
        </w:trPr>
        <w:tc>
          <w:tcPr>
            <w:tcW w:w="5000" w:type="pct"/>
            <w:vAlign w:val="center"/>
            <w:hideMark/>
          </w:tcPr>
          <w:p w:rsidR="00AC55D2" w:rsidRDefault="00AC55D2" w:rsidP="006C2B61">
            <w:pPr>
              <w:spacing w:after="0" w:line="240" w:lineRule="auto"/>
              <w:rPr>
                <w:rFonts w:asciiTheme="majorBidi" w:eastAsia="Times New Roman" w:hAnsiTheme="majorBidi" w:cstheme="majorBidi"/>
                <w:sz w:val="28"/>
                <w:szCs w:val="28"/>
                <w:lang w:eastAsia="en-MY"/>
              </w:rPr>
            </w:pPr>
            <w:r w:rsidRPr="00D86D56">
              <w:rPr>
                <w:rFonts w:asciiTheme="majorBidi" w:eastAsia="Times New Roman" w:hAnsiTheme="majorBidi" w:cstheme="majorBidi"/>
                <w:lang w:eastAsia="en-MY"/>
              </w:rPr>
              <w:t>Any person who fails to comply with the requirements of a notification under regulation 3, or knowingly or recklessly furnishes or causes to be furnished any false information on any matter specified in such notification shall be guilty of an offence and shall, on conviction, be liable to a fine not exceeding one thousand ringgit or to imprisonment for a term not exceeding six months or to both such fine and imprisonment.</w:t>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lang w:eastAsia="en-MY"/>
              </w:rPr>
              <w:t>Made the 21st August 1989.</w:t>
            </w:r>
            <w:r w:rsidRPr="00D86D56">
              <w:rPr>
                <w:rFonts w:asciiTheme="majorBidi" w:eastAsia="Times New Roman" w:hAnsiTheme="majorBidi" w:cstheme="majorBidi"/>
                <w:sz w:val="28"/>
                <w:szCs w:val="28"/>
                <w:lang w:eastAsia="en-MY"/>
              </w:rPr>
              <w:br/>
            </w:r>
            <w:proofErr w:type="gramStart"/>
            <w:r w:rsidRPr="00D86D56">
              <w:rPr>
                <w:rFonts w:asciiTheme="majorBidi" w:eastAsia="Times New Roman" w:hAnsiTheme="majorBidi" w:cstheme="majorBidi"/>
                <w:lang w:eastAsia="en-MY"/>
              </w:rPr>
              <w:t>[ FAMA</w:t>
            </w:r>
            <w:proofErr w:type="gramEnd"/>
            <w:r w:rsidRPr="00D86D56">
              <w:rPr>
                <w:rFonts w:asciiTheme="majorBidi" w:eastAsia="Times New Roman" w:hAnsiTheme="majorBidi" w:cstheme="majorBidi"/>
                <w:lang w:eastAsia="en-MY"/>
              </w:rPr>
              <w:t xml:space="preserve"> S. 2013/7; PN. (PU</w:t>
            </w:r>
            <w:r w:rsidRPr="00D86D56">
              <w:rPr>
                <w:rFonts w:asciiTheme="majorBidi" w:eastAsia="Times New Roman" w:hAnsiTheme="majorBidi" w:cstheme="majorBidi"/>
                <w:vertAlign w:val="superscript"/>
                <w:lang w:eastAsia="en-MY"/>
              </w:rPr>
              <w:t>2</w:t>
            </w:r>
            <w:r w:rsidRPr="00D86D56">
              <w:rPr>
                <w:rFonts w:asciiTheme="majorBidi" w:eastAsia="Times New Roman" w:hAnsiTheme="majorBidi" w:cstheme="majorBidi"/>
                <w:lang w:eastAsia="en-MY"/>
              </w:rPr>
              <w:t>) 145/IV. ]</w:t>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sz w:val="28"/>
                <w:szCs w:val="28"/>
                <w:lang w:eastAsia="en-MY"/>
              </w:rPr>
              <w:br/>
            </w:r>
            <w:r>
              <w:rPr>
                <w:rFonts w:asciiTheme="majorBidi" w:eastAsia="Times New Roman" w:hAnsiTheme="majorBidi" w:cstheme="majorBidi"/>
                <w:lang w:eastAsia="en-MY"/>
              </w:rPr>
              <w:t xml:space="preserve">                                                                                                              </w:t>
            </w:r>
            <w:r w:rsidRPr="00D86D56">
              <w:rPr>
                <w:rFonts w:asciiTheme="majorBidi" w:eastAsia="Times New Roman" w:hAnsiTheme="majorBidi" w:cstheme="majorBidi"/>
                <w:lang w:eastAsia="en-MY"/>
              </w:rPr>
              <w:t>CHAIRMAN</w:t>
            </w:r>
          </w:p>
          <w:p w:rsidR="00AC55D2" w:rsidRPr="00D86D56" w:rsidRDefault="00AC55D2" w:rsidP="006C2B61">
            <w:pPr>
              <w:spacing w:after="0" w:line="240" w:lineRule="auto"/>
              <w:rPr>
                <w:rFonts w:asciiTheme="majorBidi" w:eastAsia="Times New Roman" w:hAnsiTheme="majorBidi" w:cstheme="majorBidi"/>
                <w:sz w:val="28"/>
                <w:szCs w:val="28"/>
                <w:lang w:eastAsia="en-MY"/>
              </w:rPr>
            </w:pPr>
            <w:r>
              <w:rPr>
                <w:rFonts w:asciiTheme="majorBidi" w:eastAsia="Times New Roman" w:hAnsiTheme="majorBidi" w:cstheme="majorBidi"/>
                <w:lang w:eastAsia="en-MY"/>
              </w:rPr>
              <w:t xml:space="preserve">                                                                        FEDERAL AGRICULTURAL MARKETING </w:t>
            </w:r>
            <w:r w:rsidRPr="00D86D56">
              <w:rPr>
                <w:rFonts w:asciiTheme="majorBidi" w:eastAsia="Times New Roman" w:hAnsiTheme="majorBidi" w:cstheme="majorBidi"/>
                <w:lang w:eastAsia="en-MY"/>
              </w:rPr>
              <w:t>AUTHORITY</w:t>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lang w:eastAsia="en-MY"/>
              </w:rPr>
              <w:t>Approved the 8th November 1989.</w:t>
            </w:r>
            <w:r w:rsidRPr="00D86D56">
              <w:rPr>
                <w:rFonts w:asciiTheme="majorBidi" w:eastAsia="Times New Roman" w:hAnsiTheme="majorBidi" w:cstheme="majorBidi"/>
                <w:sz w:val="28"/>
                <w:szCs w:val="28"/>
                <w:lang w:eastAsia="en-MY"/>
              </w:rPr>
              <w:br/>
            </w:r>
            <w:proofErr w:type="gramStart"/>
            <w:r w:rsidRPr="00D86D56">
              <w:rPr>
                <w:rFonts w:asciiTheme="majorBidi" w:eastAsia="Times New Roman" w:hAnsiTheme="majorBidi" w:cstheme="majorBidi"/>
                <w:lang w:eastAsia="en-MY"/>
              </w:rPr>
              <w:t>[ KP</w:t>
            </w:r>
            <w:proofErr w:type="gramEnd"/>
            <w:r w:rsidRPr="00D86D56">
              <w:rPr>
                <w:rFonts w:asciiTheme="majorBidi" w:eastAsia="Times New Roman" w:hAnsiTheme="majorBidi" w:cstheme="majorBidi"/>
                <w:lang w:eastAsia="en-MY"/>
              </w:rPr>
              <w:t>/LA/8/12/; PN. (PU</w:t>
            </w:r>
            <w:r w:rsidRPr="00D86D56">
              <w:rPr>
                <w:rFonts w:asciiTheme="majorBidi" w:eastAsia="Times New Roman" w:hAnsiTheme="majorBidi" w:cstheme="majorBidi"/>
                <w:vertAlign w:val="superscript"/>
                <w:lang w:eastAsia="en-MY"/>
              </w:rPr>
              <w:t>2</w:t>
            </w:r>
            <w:r w:rsidRPr="00D86D56">
              <w:rPr>
                <w:rFonts w:asciiTheme="majorBidi" w:eastAsia="Times New Roman" w:hAnsiTheme="majorBidi" w:cstheme="majorBidi"/>
                <w:lang w:eastAsia="en-MY"/>
              </w:rPr>
              <w:t>) 145/IV. ]</w:t>
            </w:r>
            <w:r w:rsidRPr="00D86D56">
              <w:rPr>
                <w:rFonts w:asciiTheme="majorBidi" w:eastAsia="Times New Roman" w:hAnsiTheme="majorBidi" w:cstheme="majorBidi"/>
                <w:sz w:val="28"/>
                <w:szCs w:val="28"/>
                <w:lang w:eastAsia="en-MY"/>
              </w:rPr>
              <w:br/>
            </w:r>
            <w:r w:rsidRPr="00D86D56">
              <w:rPr>
                <w:rFonts w:asciiTheme="majorBidi" w:eastAsia="Times New Roman" w:hAnsiTheme="majorBidi" w:cstheme="majorBidi"/>
                <w:sz w:val="28"/>
                <w:szCs w:val="28"/>
                <w:lang w:eastAsia="en-MY"/>
              </w:rPr>
              <w:br/>
            </w:r>
            <w:r>
              <w:rPr>
                <w:rFonts w:asciiTheme="majorBidi" w:eastAsia="Times New Roman" w:hAnsiTheme="majorBidi" w:cstheme="majorBidi"/>
                <w:lang w:eastAsia="en-MY"/>
              </w:rPr>
              <w:t xml:space="preserve">                                                                                                </w:t>
            </w:r>
            <w:r w:rsidRPr="00D86D56">
              <w:rPr>
                <w:rFonts w:asciiTheme="majorBidi" w:eastAsia="Times New Roman" w:hAnsiTheme="majorBidi" w:cstheme="majorBidi"/>
                <w:lang w:eastAsia="en-MY"/>
              </w:rPr>
              <w:t>DATO' SERI SANUSI BIN JUNID,</w:t>
            </w:r>
            <w:r w:rsidRPr="00D86D56">
              <w:rPr>
                <w:rFonts w:asciiTheme="majorBidi" w:eastAsia="Times New Roman" w:hAnsiTheme="majorBidi" w:cstheme="majorBidi"/>
                <w:sz w:val="28"/>
                <w:szCs w:val="28"/>
                <w:lang w:eastAsia="en-MY"/>
              </w:rPr>
              <w:br/>
            </w:r>
            <w:r>
              <w:rPr>
                <w:rFonts w:asciiTheme="majorBidi" w:eastAsia="Times New Roman" w:hAnsiTheme="majorBidi" w:cstheme="majorBidi"/>
                <w:i/>
                <w:iCs/>
                <w:lang w:eastAsia="en-MY"/>
              </w:rPr>
              <w:t xml:space="preserve">                                                                                                         </w:t>
            </w:r>
            <w:r w:rsidRPr="00D86D56">
              <w:rPr>
                <w:rFonts w:asciiTheme="majorBidi" w:eastAsia="Times New Roman" w:hAnsiTheme="majorBidi" w:cstheme="majorBidi"/>
                <w:i/>
                <w:iCs/>
                <w:lang w:eastAsia="en-MY"/>
              </w:rPr>
              <w:t>Minister of Agriculture</w:t>
            </w:r>
            <w:r w:rsidRPr="00D86D56">
              <w:rPr>
                <w:rFonts w:asciiTheme="majorBidi" w:eastAsia="Times New Roman" w:hAnsiTheme="majorBidi" w:cstheme="majorBidi"/>
                <w:sz w:val="28"/>
                <w:szCs w:val="28"/>
                <w:lang w:eastAsia="en-MY"/>
              </w:rPr>
              <w:t xml:space="preserve"> </w:t>
            </w:r>
          </w:p>
        </w:tc>
      </w:tr>
    </w:tbl>
    <w:p w:rsidR="002E68B9" w:rsidRDefault="002E68B9">
      <w:bookmarkStart w:id="0" w:name="_GoBack"/>
      <w:bookmarkEnd w:id="0"/>
    </w:p>
    <w:sectPr w:rsidR="002E6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D2"/>
    <w:rsid w:val="002E68B9"/>
    <w:rsid w:val="00AC55D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et.com.my/LawNet/Public/LawLibrary/SubDocumentDetails.aspx?SubDocumentID=4228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net.com.my/LawNet/Public/LawLibrary/SubDocumentDetails.aspx?SubDocumentID=42629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net.com.my/LawNet/Public/LawLibrary/SubDocumentDetails.aspx?SubDocumentID=431171" TargetMode="External"/><Relationship Id="rId11" Type="http://schemas.openxmlformats.org/officeDocument/2006/relationships/hyperlink" Target="http://www.lawnet.com.my/LawNet/Public/LawLibrary/SubDocumentDetails.aspx?SubDocumentID=429787" TargetMode="External"/><Relationship Id="rId5" Type="http://schemas.openxmlformats.org/officeDocument/2006/relationships/image" Target="media/image1.gif"/><Relationship Id="rId10" Type="http://schemas.openxmlformats.org/officeDocument/2006/relationships/hyperlink" Target="http://www.lawnet.com.my/LawNet/Public/LawLibrary/SubDocumentDetails.aspx?SubDocumentID=417561" TargetMode="External"/><Relationship Id="rId4" Type="http://schemas.openxmlformats.org/officeDocument/2006/relationships/webSettings" Target="webSettings.xml"/><Relationship Id="rId9" Type="http://schemas.openxmlformats.org/officeDocument/2006/relationships/hyperlink" Target="http://www.lawnet.com.my/LawNet/Public/LawLibrary/SubDocumentDetails.aspx?SubDocumentID=436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FAMA</dc:creator>
  <cp:lastModifiedBy>FAMA</cp:lastModifiedBy>
  <cp:revision>1</cp:revision>
  <dcterms:created xsi:type="dcterms:W3CDTF">2016-11-08T03:50:00Z</dcterms:created>
  <dcterms:modified xsi:type="dcterms:W3CDTF">2016-11-08T03:54:00Z</dcterms:modified>
</cp:coreProperties>
</file>